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TERMO DE REFERÊNCIA 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REGISTRO DE PREÇOS PARA AQUISIÇÃO DE MATERIAL DE CAMA, MESA E BANHO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007910</w:t>
      </w: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/2025 de 04 de novembro de 2025 (Secretaria Municipal de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Assistência, Desenvolvimento Social e Família</w:t>
      </w:r>
      <w:r>
        <w:rPr>
          <w:rFonts w:ascii="Verdana" w:hAnsi="Verdana"/>
          <w:b/>
          <w:bCs/>
          <w:iCs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1. DAS CONDIÇÕES GERAIS DA CONTRATAÇÃO 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1.1. Registro de preços para a</w:t>
      </w:r>
      <w:r>
        <w:rPr>
          <w:rFonts w:ascii="Verdana" w:hAnsi="Verdana"/>
          <w:iCs/>
          <w:sz w:val="20"/>
          <w:szCs w:val="20"/>
        </w:rPr>
        <w:t>quisição de</w:t>
      </w:r>
      <w:r>
        <w:rPr>
          <w:rFonts w:ascii="Verdana" w:hAnsi="Verdana"/>
          <w:iCs/>
          <w:color w:val="FF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materiais de consumo (</w:t>
      </w:r>
      <w:r>
        <w:rPr>
          <w:rFonts w:eastAsia="Times New Roman" w:cs="Times New Roman" w:ascii="Verdana" w:hAnsi="Verdana"/>
          <w:iCs/>
          <w:color w:val="000000"/>
          <w:kern w:val="0"/>
          <w:sz w:val="20"/>
          <w:szCs w:val="20"/>
          <w:lang w:val="pt-BR" w:eastAsia="pt-BR" w:bidi="ar-SA"/>
        </w:rPr>
        <w:t>iten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s de cama, mesa e banho)</w:t>
      </w:r>
      <w:r>
        <w:rPr>
          <w:rFonts w:ascii="Verdana" w:hAnsi="Verdana"/>
          <w:iCs/>
          <w:color w:val="000000"/>
          <w:sz w:val="20"/>
          <w:szCs w:val="20"/>
        </w:rPr>
        <w:t xml:space="preserve"> para serem utilizados no Abrigo Luz, para melhor acolhimento provisório de crianças e adolescentes afastados do convívio familiar por meio de medida protetiva em função de abandono ou cujas famílias encontram-se temporariamente impossibilitadas de prover o cuidado necessário,</w:t>
      </w:r>
      <w:r>
        <w:rPr>
          <w:rFonts w:ascii="Verdana" w:hAnsi="Verdana"/>
          <w:iCs/>
          <w:sz w:val="20"/>
          <w:szCs w:val="20"/>
        </w:rPr>
        <w:t xml:space="preserve"> nos termos da tabela abaixo, conforme condições e exigências estabelecidas neste instrumento e no ETP elaborado pela requerente.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</w:r>
    </w:p>
    <w:tbl>
      <w:tblPr>
        <w:tblW w:w="9750" w:type="dxa"/>
        <w:jc w:val="left"/>
        <w:tblInd w:w="-1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2822"/>
        <w:gridCol w:w="922"/>
        <w:gridCol w:w="1932"/>
        <w:gridCol w:w="1523"/>
        <w:gridCol w:w="1703"/>
      </w:tblGrid>
      <w:tr>
        <w:trPr/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Fronha 100% algodão 180 fios medidas aproximadas 50x70cm cores claras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Sem estampas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14,29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714,50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Jogo de lençol 3 peças solteiro cada jogo contendo 3 (três) peças, sendo elas: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Lençol de cima  bainha nas laterais 100% algodão 180 fios, medida: 1,60m x 2,40m  lençol de baixo com elástico nas laterais 100% algodão 180 fios para colchões de 1,88m x 88cm com até 30cm de altura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Fronha 70cm x 50cm 100% algodão 180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Fios cor clara sem estampa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Kit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R$ 83,27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R$ 4.163,50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Lençol de berço, com elástico 100% algodão,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Medindo 1,00 m x 1,60m, cor clara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Sem estampas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50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31,90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R$ 1.595,00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Toalha de banho 0,70cm x 1,40cm,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100% algodão - cores sortidas em Fio penteado, pré lavada, pré encolhida, Felpa macia, cores em tons pastéis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32,69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 xml:space="preserve"> 2.615,20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Toalha para pés (piso), 100% Algodão, na medida c x l = 45 x 65 cm Pré lavada, pré encolhida, cor branca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Und.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26,83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R$ 1.073,20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Toalha de rosto 100% algodão medidas  50 x 80cm, fio penteado ; pré lavada e pré encolhida, extrema absorção ; felpa macia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Cores claras/pastéis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Und.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28,80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R$ 1.440,00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Cobertor de solteiro, microfibra 100% poliéster, medindo 2,20 x 1,60 m Sem estampa, felpuda, antialérgico,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sz w:val="20"/>
                <w:szCs w:val="20"/>
                <w:lang w:eastAsia="en-US"/>
              </w:rPr>
              <w:t>Und.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en-US" w:bidi="ar-SA"/>
              </w:rPr>
              <w:t>100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R$ 39,63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R$ 3.963,00</w:t>
            </w:r>
          </w:p>
        </w:tc>
      </w:tr>
      <w:tr>
        <w:trPr>
          <w:trHeight w:val="5200" w:hRule="atLeast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08</w:t>
            </w:r>
          </w:p>
        </w:tc>
        <w:tc>
          <w:tcPr>
            <w:tcW w:w="2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Colchonete de lâmina de espuma Flexível de poliuretano para uso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Infantil, em conformidade com a norma Abnt nbr 13579-1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Dimensões: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comprimento: 185 cm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largura: 65 cm;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espessura: 05 cm.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Características: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revestimento em material têxtil plastificado, “atóxico”, impermeável, com acabamento Em costura simples e acabamento em Cadarços impermeável;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espuma com densidade de no mínimo: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pt-BR" w:bidi="ar-SA"/>
              </w:rPr>
              <w:t>100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R$ 77,88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R$ 7.788,0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pt-BR" w:bidi="ar-SA"/>
              </w:rPr>
              <w:t>0</w:t>
            </w:r>
          </w:p>
        </w:tc>
      </w:tr>
      <w:tr>
        <w:trPr/>
        <w:tc>
          <w:tcPr>
            <w:tcW w:w="974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VALOR TOTAL: R$ </w:t>
            </w:r>
            <w:r>
              <w:rPr>
                <w:rFonts w:eastAsia="Times New Roman" w:cs="Times New Roman" w:ascii="Verdana" w:hAnsi="Verdana"/>
                <w:b/>
                <w:color w:val="000000"/>
                <w:kern w:val="0"/>
                <w:sz w:val="20"/>
                <w:szCs w:val="20"/>
                <w:lang w:val="pt-BR" w:eastAsia="pt-BR" w:bidi="ar-SA"/>
              </w:rPr>
              <w:t>23.352,40 (vinte e três mil trezentos e cinquenta e dois reais e quarenta centavos)</w:t>
            </w:r>
          </w:p>
        </w:tc>
      </w:tr>
    </w:tbl>
    <w:p>
      <w:pPr>
        <w:pStyle w:val="ListParagraph"/>
        <w:widowControl w:val="false"/>
        <w:suppressAutoHyphens w:val="false"/>
        <w:spacing w:lineRule="auto" w:line="240"/>
        <w:ind w:hanging="0" w:left="-22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suppressAutoHyphens w:val="false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1.2. Os objetos desta contratação não se enquadram como sendo de bens de luxo, conforme Decreto nº 10.818, de 2021.</w:t>
      </w:r>
    </w:p>
    <w:p>
      <w:pPr>
        <w:pStyle w:val="ListParagraph"/>
        <w:suppressAutoHyphens w:val="false"/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 O prazo de vigência da aquisição será de 12 (doze) meses, com a entrega na data até 10 dias após a emissão da autorização de fornecimento.</w:t>
      </w:r>
    </w:p>
    <w:p>
      <w:pPr>
        <w:pStyle w:val="ListParagraph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1.4. O custo estimado total da contratação é de</w:t>
      </w:r>
      <w:r>
        <w:rPr>
          <w:rFonts w:ascii="Verdana" w:hAnsi="Verdana"/>
          <w:b w:val="false"/>
          <w:bCs w:val="false"/>
          <w:i/>
          <w:color w:val="FF0000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R$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23.352,40 (vinte e três mil trezentos e cinquenta e dois reais e quarenta centavos)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,</w:t>
      </w:r>
      <w:r>
        <w:rPr>
          <w:rFonts w:ascii="Verdana" w:hAnsi="Verdana"/>
          <w:b w:val="false"/>
          <w:bCs w:val="false"/>
          <w:i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 xml:space="preserve">conforme custos unitários </w:t>
      </w:r>
      <w:r>
        <w:rPr>
          <w:rFonts w:ascii="Verdana" w:hAnsi="Verdana"/>
          <w:sz w:val="20"/>
          <w:szCs w:val="20"/>
        </w:rPr>
        <w:t>apostos nos orçamentos e no quadro comparativo de preços simples em anexo nos autos.</w:t>
      </w:r>
    </w:p>
    <w:p>
      <w:pPr>
        <w:pStyle w:val="ListParagraph"/>
        <w:spacing w:lineRule="auto" w:line="240"/>
        <w:ind w:hanging="0" w:left="72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keepNext w:val="true"/>
        <w:keepLines/>
        <w:widowControl/>
        <w:suppressAutoHyphens w:val="false"/>
        <w:overflowPunct w:val="false"/>
        <w:bidi w:val="0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2. FUNDAMENTAÇÃO E DESCRIÇÃO DA NECESSIDADE DA CONTRATAÇÃO </w:t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2.1. A Fund</w:t>
      </w:r>
      <w:r>
        <w:rPr>
          <w:rFonts w:cs="Times New Roman" w:ascii="Verdana" w:hAnsi="Verdana"/>
          <w:b w:val="false"/>
          <w:sz w:val="20"/>
          <w:szCs w:val="20"/>
        </w:rPr>
        <w:t>amentação da Contratação e de seus quantitativos encontra-se pormenorizada em Tópico específico dos Estudos Técnicos Preliminares, apêndice deste Termo de Referência.</w:t>
      </w:r>
    </w:p>
    <w:p>
      <w:pPr>
        <w:pStyle w:val="Normal"/>
        <w:spacing w:lineRule="auto" w:line="24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3. DESCRIÇÃO DA SOLUÇÃO COMO UM TODO CONSIDERADO O CICLO DE VIDA DO OBJETO E ESPECIFICAÇÃO DO PRODUTO 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3.1. A descriç</w:t>
      </w:r>
      <w:r>
        <w:rPr>
          <w:rFonts w:ascii="Verdana" w:hAnsi="Verdana"/>
          <w:sz w:val="20"/>
          <w:szCs w:val="20"/>
        </w:rPr>
        <w:t>ão da solução como um todo, encontra-se pormenorizada em tópico específico dos Estudos Técnicos Preliminares, apêndice deste Termo de Referência.</w:t>
      </w:r>
    </w:p>
    <w:p>
      <w:pPr>
        <w:pStyle w:val="Normal"/>
        <w:spacing w:lineRule="auto" w:line="240"/>
        <w:ind w:hanging="0" w:left="574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4. REQUISITOS DA CONTRATAÇÃO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4.1. 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CONTRATADA deve: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a) Zelar pela integridade física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b)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Armazenar o produto em local limpo e longe de insetos e roedores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c) Fornecer os materiais de consumo e mão de obra necessários à execução completa da entrega.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d) Fornecer transporte, logística e tudo o mais que for necessário para disponibilizar o objeto da contratação, a fim de assegurar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e)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Entregar os produtos em embalagem original do fabricante, sem avarias que possam indicar uso anterior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4.2. DA QUALIFICAÇÃO TÉCNICA.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4.2.1.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5. MODELO DE EXECUÇÃO CONTRATUAL </w:t>
      </w:r>
    </w:p>
    <w:p>
      <w:pPr>
        <w:pStyle w:val="ListParagraph"/>
        <w:tabs>
          <w:tab w:val="clear" w:pos="708"/>
          <w:tab w:val="left" w:pos="-56" w:leader="none"/>
          <w:tab w:val="left" w:pos="450" w:leader="none"/>
        </w:tabs>
        <w:spacing w:lineRule="auto" w:line="240"/>
        <w:ind w:firstLine="57" w:left="-57" w:right="0"/>
        <w:jc w:val="both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 xml:space="preserve">5.1. </w:t>
      </w:r>
      <w:r>
        <w:rPr>
          <w:rFonts w:cs="Times New Roman" w:ascii="Verdana" w:hAnsi="Verdana"/>
          <w:b w:val="false"/>
          <w:bCs w:val="false"/>
          <w:iCs/>
          <w:sz w:val="20"/>
          <w:szCs w:val="20"/>
          <w:u w:val="none"/>
        </w:rPr>
        <w:t>O prazo de vigência da aquisição será de 12 (doze) meses, com a entrega na data até 10 (dez) dias após a emissão da autorização de fornecimento.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5.2.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Os itens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deverão ser entregues no seguinte endereço: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 – CEP: 29780-000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Telefone de contato: (27)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99975 - 6571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2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E-mail: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0"/>
          <w:szCs w:val="20"/>
          <w:u w:val="none"/>
        </w:rPr>
        <w:t>assistenciasgp@gmail.com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 xml:space="preserve">Responsável: Secretaria Municipal de 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</w:rPr>
        <w:t>Assistência, Desenvolvimento Social e Família</w:t>
      </w:r>
    </w:p>
    <w:p>
      <w:pPr>
        <w:pStyle w:val="Nivel2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5.3. Caso não seja possível a entrega na data assinalada, a empresa deverá comunicar as razões respectivas com pelo menos 02 (dois) dias de antecedência para que qualquer pleito de prorrogação de prazo seja analisado, ressalvadas situações de caso fortuito e força maior.</w:t>
      </w:r>
    </w:p>
    <w:p>
      <w:pPr>
        <w:pStyle w:val="Nivel2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5.4. Os itens serão recebidos pelo(a) responsável pelo acompanhamento e fiscalização, para efei</w:t>
      </w:r>
      <w:r>
        <w:rPr>
          <w:rFonts w:cs="Times New Roman" w:ascii="Verdana" w:hAnsi="Verdana"/>
          <w:bCs/>
          <w:color w:val="auto"/>
          <w:sz w:val="20"/>
          <w:szCs w:val="20"/>
        </w:rPr>
        <w:t>to de posterior verificação de sua conformidade com as especificações constantes neste Termo de Referência e na proposta.</w:t>
      </w:r>
    </w:p>
    <w:p>
      <w:pPr>
        <w:pStyle w:val="ListParagraph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5.5. A conferência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dos itens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d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a secretaria requisitante e do departamento de almoxarifado</w:t>
      </w:r>
      <w:r>
        <w:rPr>
          <w:rFonts w:ascii="Verdana" w:hAnsi="Verdana"/>
          <w:b w:val="false"/>
          <w:bCs w:val="false"/>
          <w:sz w:val="20"/>
          <w:szCs w:val="20"/>
        </w:rPr>
        <w:t>, a fim de zelar pela qualidade e quantidade dos itens a serem adquiridos.</w:t>
      </w:r>
    </w:p>
    <w:p>
      <w:pPr>
        <w:pStyle w:val="Nivel2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5.6. Os itens poderão ser rejeitadas, no todo ou em parte, quando em desacordo com as especificações constantes no ETP, neste Termo de Referência e na respectiva Autorização de Fornecimento, devendo ser substituídos imediatamente, no momento da co</w:t>
      </w:r>
      <w:r>
        <w:rPr>
          <w:rFonts w:cs="Times New Roman" w:ascii="Verdana" w:hAnsi="Verdana"/>
          <w:bCs/>
          <w:color w:val="auto"/>
          <w:sz w:val="20"/>
          <w:szCs w:val="20"/>
        </w:rPr>
        <w:t>nstatação pelo demandante, às suas custas.</w:t>
      </w:r>
    </w:p>
    <w:p>
      <w:pPr>
        <w:pStyle w:val="ListParagraph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5.7. O recebimento provisório ou definitivo não excluirá a responsabilidade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da contratada pelos prejuízos resultantes da incorreta execução do contrato/ata de registro de preços.</w:t>
      </w:r>
    </w:p>
    <w:p>
      <w:pPr>
        <w:pStyle w:val="Nivel2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1"/>
        <w:spacing w:lineRule="auto" w:line="240" w:before="0" w:after="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 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6.</w:t>
      </w:r>
      <w:r>
        <w:rPr>
          <w:rFonts w:cs="Arial" w:ascii="Verdana" w:hAnsi="Verdana"/>
          <w:b/>
          <w:bCs/>
          <w:sz w:val="20"/>
          <w:szCs w:val="20"/>
        </w:rPr>
        <w:t xml:space="preserve"> DEFINIÇÃO E JUSTIFICATIVA DE CARACTERIZAÇÃO DO OBJETO E PRAZOS DA CONTRATAÇÃO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>A especificação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 xml:space="preserve"> dos objetos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contidos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neste Termo de Referência,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foi estudada para atender todas as necessidades apresentadas e é necessária a garantir uma boa qualidade do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serviço prestado, conforme descrito no ETP.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6.2.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O fornecedor deverá entregar o objeto de acordo com as informações contidas neste Termo de Referência e no ETP.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6.3. Será necessário 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color w:val="auto"/>
          <w:kern w:val="0"/>
          <w:sz w:val="20"/>
          <w:szCs w:val="20"/>
          <w:u w:val="none"/>
          <w:lang w:val="pt-BR" w:eastAsia="zh-CN" w:bidi="ar-SA"/>
        </w:rPr>
        <w:t>a celebração de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 Ata de registro de Preços.</w:t>
      </w:r>
    </w:p>
    <w:p>
      <w:pPr>
        <w:pStyle w:val="Nivel2"/>
        <w:spacing w:lineRule="auto" w:line="240" w:before="0" w:after="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 OBRIGAÇÕES DO CONTRA</w:t>
      </w:r>
      <w:r>
        <w:rPr>
          <w:rFonts w:cs="Arial" w:ascii="Verdana" w:hAnsi="Verdana"/>
          <w:b/>
          <w:bCs/>
          <w:sz w:val="20"/>
          <w:szCs w:val="20"/>
          <w:u w:val="none"/>
        </w:rPr>
        <w:t>TANTE</w:t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Averiguar a entrega do objeto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no prazo e condições estabelecidas neste Termo de Referência e seus anexos.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Verificar minuciosamente, no prazo fixado, a conformidade dos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serviços/entrega prestado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entregue, para que seja substituído, reparado ou corrigido.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presente aquisição,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bem como por qualquer dano causado a terceiros em decorrência de ato da Contratada, de seus empregados, prepostos ou subordinados.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8.3. Substituir, reparar ou corrigir, às suas expensas, no prazo fixado neste Termo de Referência, o objeto com avarias ou defeitos.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8.4.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Indicar preposto para representá-la.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 CONTRATADA será responsável pela observância das leis, decretos, regulamentos, portarias e normas federais, estaduais e municipais direta e indiretamente aplicáveis ao objeto do contrato/ata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8.7. A Contratada deve cumprir todas as obrigações constantes neste TR, seus anexos.</w:t>
      </w:r>
    </w:p>
    <w:p>
      <w:pPr>
        <w:pStyle w:val="BodyText"/>
        <w:spacing w:lineRule="auto" w:line="240" w:before="1" w:after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8.8. Todo o local de montagem deverá ser sinalizado de acordo com as normas de segurança.</w:t>
      </w:r>
    </w:p>
    <w:p>
      <w:pPr>
        <w:pStyle w:val="BodyText"/>
        <w:tabs>
          <w:tab w:val="clear" w:pos="708"/>
          <w:tab w:val="left" w:pos="0" w:leader="none"/>
        </w:tabs>
        <w:spacing w:lineRule="auto" w:line="240" w:before="1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8.9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u w:val="none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57" w:after="57"/>
        <w:ind w:hanging="0" w:left="0" w:right="0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u w:val="none"/>
        </w:rPr>
        <w:t>9. RESULTADOS PRETENDIDOS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9.1. Os resultados pretendidos com a contratação tem como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u w:val="none"/>
          <w:lang w:val="pt-BR" w:eastAsia="zh-CN" w:bidi="ar-SA"/>
        </w:rPr>
        <w:t xml:space="preserve">finalidade atender as demandas apresentadas pelo Abrigo Luz, no que concerne ao acolhimento de crianças e adolescentes por meio de medida protetiva de abrigamento.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10. REGULARIDADE FISCAL E TRABALHISTA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10.1. </w:t>
      </w:r>
      <w:r>
        <w:rPr>
          <w:rFonts w:cs="Arial" w:ascii="Verdana" w:hAnsi="Verdana"/>
          <w:b w:val="false"/>
          <w:bCs w:val="false"/>
          <w:sz w:val="20"/>
          <w:szCs w:val="20"/>
        </w:rPr>
        <w:t>Cópia de inscrição no Cadastro de Pessoas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Jurídicas – CNPJ.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10.2.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Prova de regularidade com a Fazenda Pública Federal, referente à Certidão de Débitos relativos a Créditos Tributários Federais e à Dívida Ativa da União, que poderá ser solicitada no site http://receita.economia.gov.br; </w:t>
      </w:r>
    </w:p>
    <w:p>
      <w:pPr>
        <w:pStyle w:val="Normal"/>
        <w:spacing w:lineRule="auto" w:line="240"/>
        <w:jc w:val="both"/>
        <w:rPr/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10.3.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Prova de regularidade com a Fazenda Estadual, que poderá ser solicitada no site </w:t>
      </w:r>
      <w:hyperlink r:id="rId2">
        <w:r>
          <w:rPr>
            <w:rStyle w:val="ListLabel1"/>
            <w:rFonts w:cs="Arial" w:ascii="Verdana" w:hAnsi="Verdana"/>
            <w:b w:val="false"/>
            <w:bCs w:val="false"/>
            <w:color w:val="000000"/>
            <w:sz w:val="20"/>
            <w:szCs w:val="20"/>
            <w:u w:val="none"/>
          </w:rPr>
          <w:t>https://internet.sefaz.es.gov.br</w:t>
        </w:r>
      </w:hyperlink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10.4.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Prova de regularidade com a Fazenda Pública Municipal referente ao domicílio do interessado.</w:t>
      </w:r>
    </w:p>
    <w:p>
      <w:pPr>
        <w:pStyle w:val="Normal"/>
        <w:spacing w:lineRule="auto" w:line="240"/>
        <w:jc w:val="both"/>
        <w:rPr/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10.5. </w:t>
      </w:r>
      <w:r>
        <w:rPr>
          <w:rFonts w:cs="Arial" w:ascii="Verdana" w:hAnsi="Verdana"/>
          <w:b w:val="false"/>
          <w:bCs w:val="false"/>
          <w:sz w:val="20"/>
          <w:szCs w:val="20"/>
        </w:rPr>
        <w:t>Prova de inexistência de débitos inadimplidos perante a Justiça do Trabalho, mediante a apresentação de certidão negativa, nos termos do Título VII-A da Con</w:t>
      </w:r>
      <w:r>
        <w:rPr>
          <w:rFonts w:cs="Arial" w:ascii="Verdana" w:hAnsi="Verdana"/>
          <w:sz w:val="20"/>
          <w:szCs w:val="20"/>
        </w:rPr>
        <w:t xml:space="preserve">solidação das Leis do Trabalho, aprovada pelo Decreto-Lei n.º 5.452, de 1º de maio de 1943, que poderá ser retirada no site </w:t>
      </w:r>
      <w:hyperlink r:id="rId3">
        <w:r>
          <w:rPr>
            <w:rStyle w:val="Hyperlink"/>
            <w:rFonts w:cs="Arial" w:ascii="Verdana" w:hAnsi="Verdana"/>
            <w:sz w:val="20"/>
            <w:szCs w:val="20"/>
          </w:rPr>
          <w:t>http://www.tst.jus.br</w:t>
        </w:r>
      </w:hyperlink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 DAS SANÇÕES ADMINISTRATIVAS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contrato/ata de registro de preços.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o procedimento eletrônico ou a execução do objeto.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o o procedimento eletrônico ou praticar ato fraudulento na execução do objeto.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do o procedimento eletrônico, mesmo após o encerramento da fase de lances.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40"/>
        <w:ind w:hanging="0" w:left="-57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40"/>
        <w:ind w:hanging="0" w:left="-57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Cs/>
          <w:sz w:val="20"/>
          <w:szCs w:val="20"/>
        </w:rPr>
        <w:t>b.1) O valor da multa poderá ser descontado das faturas devidas à CONTRATADA;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b.2) A multa pode ser aplicada isoladamente ou acompanhado de as penali</w:t>
      </w:r>
      <w:r>
        <w:rPr>
          <w:rFonts w:ascii="Verdana" w:hAnsi="Verdana"/>
          <w:iCs/>
          <w:sz w:val="20"/>
          <w:szCs w:val="20"/>
        </w:rPr>
        <w:t xml:space="preserve">dades definidas nos itens “c” e “d” abaixo: 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</w:t>
      </w:r>
      <w:r>
        <w:rPr>
          <w:rFonts w:ascii="Verdana" w:hAnsi="Verdana"/>
          <w:iCs/>
          <w:sz w:val="20"/>
          <w:szCs w:val="20"/>
          <w:lang w:eastAsia="en-US"/>
        </w:rPr>
        <w:t>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  <w:r>
        <w:rPr>
          <w:rFonts w:ascii="Verdana" w:hAnsi="Verdana"/>
          <w:sz w:val="20"/>
          <w:szCs w:val="20"/>
          <w:lang w:eastAsia="en-US"/>
        </w:rPr>
        <w:t xml:space="preserve"> </w:t>
      </w:r>
    </w:p>
    <w:p>
      <w:pPr>
        <w:pStyle w:val="Normal"/>
        <w:spacing w:lineRule="auto" w:line="240"/>
        <w:ind w:hanging="0" w:left="-79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Controladoria-Geral da União (</w:t>
      </w:r>
      <w:hyperlink r:id="rId4">
        <w:r>
          <w:rPr>
            <w:rStyle w:val="ListLabel3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3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4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3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12.1.2. A consulta aos cadastros será realizada em nome da empresa licitante e também de seu sócio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12.1.3. 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12.2..1. </w:t>
      </w:r>
      <w:r>
        <w:rPr>
          <w:rFonts w:cs="Verdana" w:ascii="Verdana" w:hAnsi="Verdana"/>
          <w:sz w:val="20"/>
          <w:szCs w:val="20"/>
          <w:lang w:eastAsia="ar-SA"/>
        </w:rPr>
        <w:t xml:space="preserve">O interessado, para efeitos de habilitação prevista na Instrução Normativa 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12.8. Habilitação jurídica: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 xml:space="preserve">o </w:t>
      </w:r>
      <w:hyperlink r:id="rId8">
        <w:r>
          <w:rPr>
            <w:rStyle w:val="ListLabel5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12.8.7. No caso de empresa ou sociedade estrangeira em funcionamento no País: decreto de autorização;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12.8.8.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lineRule="auto" w:line="24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12.09.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</w:rPr>
        <w:t xml:space="preserve">o procedimento eletrônico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hanging="0" w:left="-57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sz w:val="20"/>
          <w:szCs w:val="20"/>
        </w:rPr>
        <w:t xml:space="preserve">.3. Para a contagem do prazo estabelecido na letra “a” deste capítulo, será contado a partir do primeiro dia que antecede a data da realização do </w:t>
      </w:r>
      <w:r>
        <w:rPr>
          <w:rFonts w:cs="Verdana" w:ascii="Verdana" w:hAnsi="Verdana"/>
          <w:b w:val="false"/>
          <w:bCs w:val="false"/>
          <w:iCs/>
          <w:sz w:val="20"/>
          <w:szCs w:val="20"/>
        </w:rPr>
        <w:t>procedimento eletrônico</w:t>
      </w:r>
      <w:r>
        <w:rPr>
          <w:rFonts w:cs="Verdana" w:ascii="Verdana" w:hAnsi="Verdana"/>
          <w:b w:val="false"/>
          <w:bCs w:val="false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hanging="0" w:left="-79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12.</w:t>
      </w:r>
      <w:r>
        <w:rPr>
          <w:rFonts w:eastAsia="Times New Roman" w:cs="Verdana" w:ascii="Verdana" w:hAnsi="Verdana"/>
          <w:b w:val="false"/>
          <w:bCs w:val="false"/>
          <w:iCs/>
          <w:color w:val="000000"/>
          <w:kern w:val="0"/>
          <w:sz w:val="20"/>
          <w:szCs w:val="20"/>
          <w:lang w:val="pt-BR" w:eastAsia="en-US" w:bidi="ar-SA"/>
        </w:rPr>
        <w:t>9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 CRITÉRIOS DE PAGAMENTO</w:t>
      </w:r>
    </w:p>
    <w:p>
      <w:pPr>
        <w:pStyle w:val="Normal"/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6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contrato/ata de registro de preços;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0" w:leader="none"/>
          <w:tab w:val="left" w:pos="563" w:leader="none"/>
        </w:tabs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13.5.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13.7. O pagamento será realizado por meio de ordem bancária, para crédito em banco, agência e conta correntes indicadas pelo contratado.</w:t>
      </w:r>
    </w:p>
    <w:p>
      <w:pPr>
        <w:pStyle w:val="Normal"/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12.8. Será considerada data do pagamento o dia em que constar como emitida a ordem bancária para pagamento.</w:t>
      </w:r>
    </w:p>
    <w:p>
      <w:pPr>
        <w:pStyle w:val="Normal"/>
        <w:spacing w:lineRule="auto" w:line="24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13.9. Quando do pagamento, será efetuada a retenção tributária prevista na legislação aplicável.</w:t>
      </w:r>
    </w:p>
    <w:p>
      <w:pPr>
        <w:pStyle w:val="Normal"/>
        <w:spacing w:lineRule="auto" w:line="24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13.10. O contratado regularmente optante pelo Simples Nacional, nos termos da </w:t>
      </w:r>
      <w:hyperlink r:id="rId9">
        <w:r>
          <w:rPr>
            <w:rStyle w:val="ListLabel7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13.11.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Após o pra</w:t>
      </w:r>
      <w:r>
        <w:rPr>
          <w:rFonts w:ascii="Verdana" w:hAnsi="Verdana"/>
          <w:sz w:val="20"/>
          <w:szCs w:val="20"/>
        </w:rPr>
        <w:t>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rPr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 w:before="0" w:after="86"/>
        <w:ind w:hanging="0" w:left="0" w:right="0"/>
        <w:contextualSpacing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>13.13.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Qualquer alteração feita no contrato social, ato constitutivo ou estatuto deverá ser ois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tabs>
          <w:tab w:val="clear" w:pos="708"/>
          <w:tab w:val="left" w:pos="563" w:leader="none"/>
        </w:tabs>
        <w:spacing w:lineRule="auto" w:line="24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u w:val="none"/>
        </w:rPr>
        <w:t xml:space="preserve">13.15. </w:t>
      </w:r>
      <w:r>
        <w:rPr>
          <w:rFonts w:ascii="Verdana" w:hAnsi="Verdana"/>
          <w:b w:val="false"/>
          <w:bCs w:val="false"/>
          <w:sz w:val="20"/>
          <w:szCs w:val="20"/>
          <w:u w:val="none"/>
          <w:lang w:eastAsia="en-US"/>
        </w:rPr>
        <w:t xml:space="preserve">Para a efetivação do pagamento, a CONTRATADA deverá manter as mesmas </w:t>
      </w:r>
      <w:r>
        <w:rPr>
          <w:rFonts w:ascii="Verdana" w:hAnsi="Verdana"/>
          <w:b w:val="false"/>
          <w:bCs w:val="false"/>
          <w:sz w:val="20"/>
          <w:szCs w:val="20"/>
          <w:u w:val="none"/>
          <w:lang w:eastAsia="pt-BR"/>
        </w:rPr>
        <w:t>condições relativas à proposta de preço e a habilitação.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PROVIDÊNCIAS A SEREM ADOTADAS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14.1. A Administração Pública contará com a Secretaria Municipal de Assistência Social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15.1. Não se </w:t>
      </w:r>
      <w:r>
        <w:rPr>
          <w:rFonts w:cs="Arial" w:ascii="Verdana" w:hAnsi="Verdana"/>
          <w:sz w:val="20"/>
          <w:szCs w:val="20"/>
        </w:rPr>
        <w:t>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16.1.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DECLARAÇÃO E JUSTIFICATIVA DA VIABILIDADE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17.1.</w:t>
      </w: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17.2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ivel1"/>
        <w:spacing w:lineRule="auto" w:line="240" w:before="0" w:after="0"/>
        <w:ind w:firstLine="57" w:left="57" w:right="0"/>
        <w:rPr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18. ADEQUAÇÃO ORÇAMENTÁRIA </w:t>
      </w:r>
    </w:p>
    <w:p>
      <w:pPr>
        <w:pStyle w:val="ListParagraph"/>
        <w:spacing w:lineRule="auto" w:line="240"/>
        <w:ind w:hanging="0" w:left="57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18.1. </w:t>
      </w:r>
      <w:r>
        <w:rPr>
          <w:rFonts w:ascii="Verdana" w:hAnsi="Verdana"/>
          <w:sz w:val="20"/>
          <w:szCs w:val="20"/>
        </w:rPr>
        <w:t>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ListParagraph"/>
        <w:spacing w:lineRule="auto" w:line="240"/>
        <w:ind w:hanging="0" w:left="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</w:t>
      </w:r>
      <w:r>
        <w:rPr>
          <w:rFonts w:eastAsia="Times New Roman" w:cs="Times New Roman" w:ascii="Verdana" w:hAnsi="Verdana"/>
          <w:sz w:val="20"/>
          <w:szCs w:val="20"/>
        </w:rPr>
        <w:t>0384 – 150000000000</w:t>
      </w:r>
    </w:p>
    <w:p>
      <w:pPr>
        <w:pStyle w:val="Normal"/>
        <w:spacing w:lineRule="auto" w:line="24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  <w:t>No valor estimado de R$ 23.352,40 (vinte e três mil trezentos e cinquenta e dois reais e quarenta centavos)</w:t>
      </w:r>
    </w:p>
    <w:p>
      <w:pPr>
        <w:pStyle w:val="Normal"/>
        <w:spacing w:lineRule="auto" w:line="24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19.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DOS RESPONSÁVEIS PELA ELABORAÇÃO DO TERMO DE REFERÊNCIA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19.1. A compilação de parte das informações mencionados na elaboração deste Termo de Referência foram estruturadas através do ETP – Estudo Técnico Preliminar e DFD – Documento Formalizador de Demanda, elaborados pela secretaria requerente.</w:t>
      </w:r>
    </w:p>
    <w:p>
      <w:pPr>
        <w:pStyle w:val="Normal"/>
        <w:spacing w:lineRule="auto" w:line="24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Times New Roman" w:cs="Times New Roman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15 de janeiro de 2026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0" w:name="art122%252525252525252525252525252525252"/>
      <w:bookmarkStart w:id="1" w:name="art122%252525252525252525252525252525251"/>
      <w:bookmarkStart w:id="2" w:name="art122%252525252525252525252525252525253"/>
      <w:bookmarkStart w:id="3" w:name="art122%252525252525252525252525252525254"/>
      <w:bookmarkStart w:id="4" w:name="art122%252525252525252525252525252525255"/>
      <w:bookmarkStart w:id="5" w:name="art122%252525252525252525252525252525256"/>
      <w:bookmarkEnd w:id="0"/>
      <w:bookmarkEnd w:id="1"/>
      <w:bookmarkEnd w:id="2"/>
      <w:bookmarkEnd w:id="3"/>
      <w:bookmarkEnd w:id="4"/>
      <w:bookmarkEnd w:id="5"/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  <w:bookmarkStart w:id="6" w:name="_GoBack"/>
      <w:bookmarkStart w:id="7" w:name="_GoBack11"/>
      <w:bookmarkStart w:id="8" w:name="_GoBack1"/>
      <w:bookmarkStart w:id="9" w:name="_GoBack2"/>
      <w:bookmarkStart w:id="10" w:name="_GoBack12"/>
      <w:bookmarkStart w:id="11" w:name="_GoBack"/>
      <w:bookmarkStart w:id="12" w:name="_GoBack11"/>
      <w:bookmarkStart w:id="13" w:name="_GoBack1"/>
      <w:bookmarkStart w:id="14" w:name="_GoBack2"/>
      <w:bookmarkStart w:id="15" w:name="_GoBack12"/>
      <w:bookmarkEnd w:id="11"/>
      <w:bookmarkEnd w:id="12"/>
      <w:bookmarkEnd w:id="13"/>
      <w:bookmarkEnd w:id="14"/>
      <w:bookmarkEnd w:id="15"/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  <w:bookmarkStart w:id="16" w:name="_GoBack_Copia_1"/>
      <w:bookmarkStart w:id="17" w:name="_GoBack11_Copia_1"/>
      <w:bookmarkStart w:id="18" w:name="_GoBack1_Copia_1"/>
      <w:bookmarkStart w:id="19" w:name="_GoBack2_Copia_1"/>
      <w:bookmarkStart w:id="20" w:name="_GoBack12_Copia_1"/>
      <w:bookmarkStart w:id="21" w:name="_GoBack_Copia_1"/>
      <w:bookmarkStart w:id="22" w:name="_GoBack11_Copia_1"/>
      <w:bookmarkStart w:id="23" w:name="_GoBack1_Copia_1"/>
      <w:bookmarkStart w:id="24" w:name="_GoBack2_Copia_1"/>
      <w:bookmarkStart w:id="25" w:name="_GoBack12_Copia_1"/>
      <w:bookmarkEnd w:id="21"/>
      <w:bookmarkEnd w:id="22"/>
      <w:bookmarkEnd w:id="23"/>
      <w:bookmarkEnd w:id="24"/>
      <w:bookmarkEnd w:id="25"/>
    </w:p>
    <w:sectPr>
      <w:headerReference w:type="even" r:id="rId10"/>
      <w:headerReference w:type="default" r:id="rId11"/>
      <w:headerReference w:type="first" r:id="rId12"/>
      <w:footerReference w:type="even" r:id="rId13"/>
      <w:footerReference w:type="default" r:id="rId14"/>
      <w:footerReference w:type="first" r:id="rId15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2z0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Hyperlink">
    <w:name w:val="Hyperlink"/>
    <w:qFormat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Cabealhoerodap15">
    <w:name w:val="Cabeçalho e rodapé15"/>
    <w:basedOn w:val="Normal"/>
    <w:qFormat/>
    <w:pPr/>
    <w:rPr/>
  </w:style>
  <w:style w:type="paragraph" w:styleId="Cabealhoerodap16">
    <w:name w:val="Cabeçalho e rodapé16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360" w:before="240" w:after="240"/>
      <w:jc w:val="both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sefaz.es.gov.br/" TargetMode="External"/><Relationship Id="rId3" Type="http://schemas.openxmlformats.org/officeDocument/2006/relationships/hyperlink" Target="http://www.tst.jus.br/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s://www.planalto.gov.br/ccivil_03/leis/lcp/lcp123.htm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Application>LibreOffice/24.2.7.2$Windows_X86_64 LibreOffice_project/ee3885777aa7032db5a9b65deec9457448a91162</Application>
  <AppVersion>15.0000</AppVersion>
  <Pages>9</Pages>
  <Words>4137</Words>
  <Characters>23762</Characters>
  <CharactersWithSpaces>27704</CharactersWithSpaces>
  <Paragraphs>257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2025-08-04T15:21:14Z</cp:lastPrinted>
  <dcterms:modified xsi:type="dcterms:W3CDTF">2026-03-06T13:22:02Z</dcterms:modified>
  <cp:revision>163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